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24535" w:type="dxa"/>
        <w:tblInd w:w="-53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94"/>
        <w:gridCol w:w="2126"/>
        <w:gridCol w:w="1984"/>
        <w:gridCol w:w="2552"/>
        <w:gridCol w:w="3163"/>
        <w:gridCol w:w="1798"/>
        <w:gridCol w:w="1985"/>
        <w:gridCol w:w="138"/>
        <w:gridCol w:w="92"/>
        <w:gridCol w:w="827"/>
        <w:gridCol w:w="1949"/>
        <w:gridCol w:w="2998"/>
        <w:gridCol w:w="1130"/>
        <w:gridCol w:w="1099"/>
      </w:tblGrid>
      <w:tr w:rsidR="0064369F" w:rsidTr="00530DB3">
        <w:trPr>
          <w:trHeight w:val="180"/>
        </w:trPr>
        <w:tc>
          <w:tcPr>
            <w:tcW w:w="14317" w:type="dxa"/>
            <w:gridSpan w:val="6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shd w:val="solid" w:color="CCFFFF" w:fill="auto"/>
          </w:tcPr>
          <w:p w:rsidR="00530DB3" w:rsidRDefault="00D67653" w:rsidP="0064369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Fiche Mémo des </w:t>
            </w:r>
            <w:r w:rsidR="00E83257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m</w:t>
            </w:r>
            <w:r w:rsidR="0064369F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édicaments</w:t>
            </w: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 : </w:t>
            </w:r>
            <w:r w:rsidR="00E83257" w:rsidRPr="00D67653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ANTICOAGULANTS</w:t>
            </w:r>
            <w:r w:rsidR="00E83257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 </w:t>
            </w:r>
          </w:p>
          <w:p w:rsidR="0064369F" w:rsidRDefault="00E83257" w:rsidP="0064369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D</w:t>
            </w:r>
            <w:r w:rsidRPr="00E83257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éfinition</w:t>
            </w: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 :</w:t>
            </w:r>
            <w:r w:rsidR="00E0281E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 Médicaments qui fluidifient le sang</w:t>
            </w:r>
          </w:p>
        </w:tc>
        <w:tc>
          <w:tcPr>
            <w:tcW w:w="3042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  <w:p w:rsidR="002F3E93" w:rsidRDefault="002F3E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  <w:p w:rsidR="002F3E93" w:rsidRDefault="002F3E93" w:rsidP="002F3E9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4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13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2" w:space="0" w:color="000000"/>
              <w:left w:val="nil"/>
              <w:bottom w:val="nil"/>
              <w:right w:val="single" w:sz="12" w:space="0" w:color="auto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64369F" w:rsidTr="00E0281E">
        <w:trPr>
          <w:gridAfter w:val="5"/>
          <w:wAfter w:w="8003" w:type="dxa"/>
          <w:trHeight w:val="523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Classes de </w:t>
            </w:r>
          </w:p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64369F" w:rsidRDefault="00E832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Effets attendus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64369F" w:rsidRDefault="004B64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Surveillance biologique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64369F" w:rsidRDefault="004B64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Surveillance </w:t>
            </w:r>
            <w:r w:rsidR="00E8325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AS</w:t>
            </w:r>
          </w:p>
        </w:tc>
        <w:tc>
          <w:tcPr>
            <w:tcW w:w="3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64369F" w:rsidRDefault="00E83257" w:rsidP="00466A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Interactions médicamenteuses</w:t>
            </w: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64369F" w:rsidRDefault="0064369F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66A6A" w:rsidRDefault="00466A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0281E" w:rsidTr="00882A59">
        <w:trPr>
          <w:gridAfter w:val="5"/>
          <w:wAfter w:w="8003" w:type="dxa"/>
          <w:trHeight w:val="1188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Pr="00BE19DD" w:rsidRDefault="00E0281E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BE19DD">
              <w:rPr>
                <w:rFonts w:ascii="Calibri" w:hAnsi="Calibri" w:cs="Calibri"/>
                <w:i/>
                <w:iCs/>
                <w:color w:val="000000"/>
              </w:rPr>
              <w:t xml:space="preserve">Les NACO </w:t>
            </w:r>
          </w:p>
          <w:p w:rsidR="00E0281E" w:rsidRDefault="00E0281E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937294">
            <w:pPr>
              <w:autoSpaceDE w:val="0"/>
              <w:autoSpaceDN w:val="0"/>
              <w:adjustRightInd w:val="0"/>
              <w:spacing w:after="0" w:line="240" w:lineRule="auto"/>
              <w:ind w:left="-30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BE19DD">
              <w:rPr>
                <w:rFonts w:ascii="Calibri" w:hAnsi="Calibri" w:cs="Calibri"/>
                <w:i/>
                <w:iCs/>
                <w:color w:val="000000"/>
              </w:rPr>
              <w:t>Pradaxa®, arixtra ®, xarelto®</w:t>
            </w:r>
          </w:p>
          <w:p w:rsidR="00E0281E" w:rsidRDefault="00E0281E" w:rsidP="00937294">
            <w:pPr>
              <w:autoSpaceDE w:val="0"/>
              <w:autoSpaceDN w:val="0"/>
              <w:adjustRightInd w:val="0"/>
              <w:spacing w:after="0" w:line="240" w:lineRule="auto"/>
              <w:ind w:left="-30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AB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E19DD">
              <w:rPr>
                <w:rFonts w:ascii="Calibri" w:hAnsi="Calibri" w:cs="Calibri"/>
                <w:color w:val="000000"/>
              </w:rPr>
              <w:cr/>
            </w:r>
            <w:r w:rsidRPr="00BE19DD">
              <w:rPr>
                <w:rFonts w:ascii="Calibri" w:hAnsi="Calibri" w:cs="Calibri"/>
                <w:color w:val="000000"/>
              </w:rPr>
              <w:cr/>
            </w:r>
            <w:r w:rsidRPr="00BE19DD">
              <w:rPr>
                <w:rFonts w:ascii="Calibri" w:hAnsi="Calibri" w:cs="Calibri"/>
                <w:color w:val="000000"/>
              </w:rPr>
              <w:cr/>
              <w:t>Traitement préventif d’une récidive embolie, phlébite …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Pr="00BE19DD" w:rsidRDefault="00E0281E" w:rsidP="00AB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E19DD">
              <w:rPr>
                <w:rFonts w:ascii="Calibri" w:hAnsi="Calibri" w:cs="Calibri"/>
                <w:color w:val="000000"/>
              </w:rPr>
              <w:cr/>
              <w:t xml:space="preserve">Pas de surveillance biologique </w:t>
            </w:r>
          </w:p>
          <w:p w:rsidR="00E0281E" w:rsidRDefault="00E0281E" w:rsidP="00AB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E19DD">
              <w:rPr>
                <w:rFonts w:ascii="Calibri" w:hAnsi="Calibri" w:cs="Calibri"/>
                <w:color w:val="000000"/>
              </w:rPr>
              <w:t>Attention aux patients si chutes =&gt;risques d’hématomes surtout intracrâniens</w:t>
            </w:r>
            <w:r w:rsidRPr="00BE19DD">
              <w:rPr>
                <w:rFonts w:ascii="Calibri" w:hAnsi="Calibri" w:cs="Calibri"/>
                <w:color w:val="000000"/>
              </w:rPr>
              <w:cr/>
            </w:r>
            <w:r w:rsidRPr="00BE19DD">
              <w:rPr>
                <w:rFonts w:ascii="Calibri" w:hAnsi="Calibri" w:cs="Calibri"/>
                <w:color w:val="000000"/>
              </w:rPr>
              <w:cr/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</w:t>
            </w:r>
            <w:r w:rsidRPr="004B6490">
              <w:rPr>
                <w:rFonts w:ascii="Calibri" w:hAnsi="Calibri" w:cs="Calibri"/>
                <w:color w:val="000000"/>
              </w:rPr>
              <w:t>i trop anti coagulé :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Risque</w:t>
            </w:r>
            <w:r>
              <w:rPr>
                <w:rFonts w:ascii="Calibri" w:hAnsi="Calibri" w:cs="Calibri"/>
                <w:color w:val="000000"/>
              </w:rPr>
              <w:t>s</w:t>
            </w:r>
            <w:r w:rsidRPr="004B6490">
              <w:rPr>
                <w:rFonts w:ascii="Calibri" w:hAnsi="Calibri" w:cs="Calibri"/>
                <w:color w:val="000000"/>
              </w:rPr>
              <w:t xml:space="preserve"> hémorragiques :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Externe : gingivorragies, épistaxis, hématuries…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Interne : pâleur, sueurs, pouls filant, chute de TA</w:t>
            </w:r>
            <w:r>
              <w:rPr>
                <w:rFonts w:ascii="Calibri" w:hAnsi="Calibri" w:cs="Calibri"/>
                <w:color w:val="000000"/>
              </w:rPr>
              <w:t>, soif intense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Si pas assez anti coagulé :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Risque de TVP : Douleur, chaleur, rougeur, douleur à la dorsiflexion du pied, pas de ballotement du mollet</w:t>
            </w:r>
          </w:p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8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0281E" w:rsidRDefault="00E0281E" w:rsidP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E1410D">
              <w:rPr>
                <w:rFonts w:ascii="Calibri" w:hAnsi="Calibri" w:cs="Calibri"/>
                <w:highlight w:val="yellow"/>
              </w:rPr>
              <w:t>Attention pas d’AINS avec anticoagulants =&gt; risque d’ulcère hémorragique</w:t>
            </w:r>
          </w:p>
        </w:tc>
        <w:tc>
          <w:tcPr>
            <w:tcW w:w="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0281E" w:rsidRPr="00E1410D" w:rsidRDefault="00E0281E" w:rsidP="00E141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E0281E" w:rsidTr="00882A59">
        <w:trPr>
          <w:gridAfter w:val="5"/>
          <w:wAfter w:w="8003" w:type="dxa"/>
          <w:trHeight w:val="600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1627505</wp:posOffset>
                      </wp:positionH>
                      <wp:positionV relativeFrom="paragraph">
                        <wp:posOffset>3811905</wp:posOffset>
                      </wp:positionV>
                      <wp:extent cx="7086600" cy="19050"/>
                      <wp:effectExtent l="10160" t="18415" r="18415" b="10160"/>
                      <wp:wrapNone/>
                      <wp:docPr id="1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086600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87BFC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7" o:spid="_x0000_s1026" type="#_x0000_t32" style="position:absolute;margin-left:128.15pt;margin-top:300.15pt;width:558pt;height:1.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O0BPAIAAIEEAAAOAAAAZHJzL2Uyb0RvYy54bWysVMGO2jAQvVfqP1i5QxLKshABq1UCvWy7&#10;SLvt3dgOsep4LNsQUNV/79gBurSXqioHMx573ryZec784dgqchDWSdCLJB9mCRGaAZd6t0i+vK4H&#10;04Q4TzWnCrRYJCfhkofl+3fzzhRiBA0oLixBEO2KziySxntTpKljjWipG4IRGg9rsC31uLW7lFva&#10;IXqr0lGWTdIOLDcWmHAOvVV/mCwjfl0L5p/r2glP1CJBbj6uNq7bsKbLOS12lppGsjMN+g8sWio1&#10;Jr1CVdRTsrfyD6hWMgsOaj9k0KZQ15KJWANWk2e/VfPSUCNiLdgcZ65tcv8Pln0+bCyRHGeXEE1b&#10;HNHj3kPMTO5DezrjCrxV6o0NBbKjfjFPwL45oqFsqN6JePn1ZDA2DxHpTUjYOINJtt0n4HiHIn7s&#10;1bG2LamVNF9DYADHfpBjHM7pOhxx9ISh8z6bTiYZzpDhWT7L7uLwUloEmBBsrPMfBbQkGIvEeUvl&#10;rvElaI0yANunoIcn5wPJXwEhWMNaKhXVoDTpLhnCkQMleTiNmyBMUSpLDhQl5Y89qtq3WFzvy7Pw&#10;65WFftRf77/wjdoOEJHEDbqFveaRRCMoX51tT6XqbSStdKCBTcEyzlYvtO+zbLaarqbjwXg0WQ3G&#10;WVUNHtfleDBZ5/d31YeqLKv8R2hzPi4aybnQoaiL6PPx34nq/Px6uV5lf21feoseS0Syl/9IOuoj&#10;SKIX1xb4aWMvukGdx8vnNxke0ts92m+/HMufAAAA//8DAFBLAwQUAAYACAAAACEAyuFspt8AAAAM&#10;AQAADwAAAGRycy9kb3ducmV2LnhtbEyPwU7DMBBE70j8g7VI3KhNQtM2xKkioJf2Qgsf4CbbJCJe&#10;h9htw9+zOcFtdmc0+zZbj7YTFxx860jD40yBQCpd1VKt4fNj87AE4YOhynSOUMMPeljntzeZSSt3&#10;pT1eDqEWXEI+NRqaEPpUSl82aI2fuR6JvZMbrAk8DrWsBnPlctvJSKlEWtMSX2hMjy8Nll+Hs9Xw&#10;9rpZ7L+jJ7VLtsq/r1bFPGwLre/vxuIZRMAx/IVhwmd0yJnp6M5UedFpiOZJzFENiVIspkS8iFgd&#10;p1Ucg8wz+f+J/BcAAP//AwBQSwECLQAUAAYACAAAACEAtoM4kv4AAADhAQAAEwAAAAAAAAAAAAAA&#10;AAAAAAAAW0NvbnRlbnRfVHlwZXNdLnhtbFBLAQItABQABgAIAAAAIQA4/SH/1gAAAJQBAAALAAAA&#10;AAAAAAAAAAAAAC8BAABfcmVscy8ucmVsc1BLAQItABQABgAIAAAAIQCP9O0BPAIAAIEEAAAOAAAA&#10;AAAAAAAAAAAAAC4CAABkcnMvZTJvRG9jLnhtbFBLAQItABQABgAIAAAAIQDK4Wym3wAAAAwBAAAP&#10;AAAAAAAAAAAAAAAAAJYEAABkcnMvZG93bnJldi54bWxQSwUGAAAAAAQABADzAAAAogUAAAAA&#10;" strokecolor="black [3213]" strokeweight="1.5pt"/>
                  </w:pict>
                </mc:Fallback>
              </mc:AlternateContent>
            </w:r>
            <w:r>
              <w:rPr>
                <w:rFonts w:ascii="Calibri" w:hAnsi="Calibri" w:cs="Calibri"/>
                <w:i/>
                <w:iCs/>
                <w:color w:val="000000"/>
              </w:rPr>
              <w:t>H</w:t>
            </w:r>
            <w:r w:rsidRPr="00D67653">
              <w:rPr>
                <w:rFonts w:ascii="Calibri" w:hAnsi="Calibri" w:cs="Calibri"/>
                <w:i/>
                <w:iCs/>
                <w:color w:val="000000"/>
              </w:rPr>
              <w:t>éparines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281E" w:rsidRPr="00D67653" w:rsidRDefault="00E0281E" w:rsidP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FF0000"/>
              </w:rPr>
            </w:pPr>
            <w:r w:rsidRPr="00D67653">
              <w:rPr>
                <w:rFonts w:ascii="Calibri" w:hAnsi="Calibri" w:cs="Calibri"/>
                <w:color w:val="FF0000"/>
              </w:rPr>
              <w:t>Non fractionnées</w:t>
            </w: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1E148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Pr="001E148A" w:rsidRDefault="00E0281E" w:rsidP="001E148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E148A">
              <w:rPr>
                <w:rFonts w:ascii="Calibri" w:hAnsi="Calibri" w:cs="Calibri"/>
                <w:color w:val="000000"/>
              </w:rPr>
              <w:t>Calciparine® S/C</w:t>
            </w:r>
          </w:p>
          <w:p w:rsidR="00E0281E" w:rsidRDefault="00E0281E" w:rsidP="00D67653">
            <w:pPr>
              <w:pStyle w:val="Paragraphedeliste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pStyle w:val="Paragraphedeliste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  <w:r w:rsidRPr="00D67653">
              <w:rPr>
                <w:rFonts w:ascii="Calibri" w:hAnsi="Calibri" w:cs="Calibri"/>
                <w:color w:val="FF0000"/>
              </w:rPr>
              <w:t>HBPM</w:t>
            </w: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Fr</w:t>
            </w:r>
            <w:r>
              <w:rPr>
                <w:rFonts w:ascii="Calibri" w:hAnsi="Calibri" w:cs="Calibri"/>
                <w:color w:val="000000"/>
              </w:rPr>
              <w:t>agmine®</w:t>
            </w:r>
          </w:p>
          <w:p w:rsidR="00E0281E" w:rsidRPr="004B6490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Lovenox®, Fraxiparine®</w:t>
            </w:r>
          </w:p>
          <w:p w:rsidR="00E0281E" w:rsidRPr="00D67653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S/C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Traite</w:t>
            </w:r>
            <w:r>
              <w:rPr>
                <w:rFonts w:ascii="Calibri" w:hAnsi="Calibri" w:cs="Calibri"/>
                <w:color w:val="000000"/>
              </w:rPr>
              <w:t xml:space="preserve">ment curatif </w:t>
            </w: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 xml:space="preserve">Traitement préventif </w:t>
            </w:r>
          </w:p>
          <w:p w:rsidR="00E0281E" w:rsidRPr="00D67653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Temps de Céphaline Activé </w:t>
            </w: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D67653">
              <w:rPr>
                <w:rFonts w:ascii="Calibri" w:hAnsi="Calibri" w:cs="Calibri"/>
                <w:color w:val="000000"/>
              </w:rPr>
              <w:t>TCA entre deux injections</w:t>
            </w: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F70072">
              <w:rPr>
                <w:rFonts w:ascii="Calibri" w:hAnsi="Calibri" w:cs="Calibri"/>
                <w:color w:val="000000"/>
              </w:rPr>
              <w:t>TCA = 1,5 à 3 fois le temps témoin</w:t>
            </w: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D6765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bookmarkStart w:id="0" w:name="_GoBack"/>
            <w:bookmarkEnd w:id="0"/>
          </w:p>
          <w:p w:rsidR="00E0281E" w:rsidRPr="004B6490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Risque de thrombopénie massive (stop ttt)</w:t>
            </w: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Surveillance des plaquettes tous les 15 jours</w:t>
            </w: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Pr="00D67653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8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81E" w:rsidRDefault="00E0281E" w:rsidP="001E14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1E148A" w:rsidRDefault="001E148A">
      <w:r>
        <w:br w:type="page"/>
      </w:r>
    </w:p>
    <w:tbl>
      <w:tblPr>
        <w:tblW w:w="16487" w:type="dxa"/>
        <w:tblInd w:w="-53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68"/>
        <w:gridCol w:w="1797"/>
        <w:gridCol w:w="2249"/>
        <w:gridCol w:w="3042"/>
        <w:gridCol w:w="3118"/>
        <w:gridCol w:w="3686"/>
        <w:gridCol w:w="142"/>
        <w:gridCol w:w="185"/>
      </w:tblGrid>
      <w:tr w:rsidR="001E148A" w:rsidTr="00E83257">
        <w:trPr>
          <w:trHeight w:val="523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1E148A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 xml:space="preserve">Classes de </w:t>
            </w:r>
          </w:p>
          <w:p w:rsidR="001E148A" w:rsidRDefault="001E148A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E83257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2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1E148A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Effets attendus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1E148A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Surveillance biologique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1E148A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Surveillance </w:t>
            </w:r>
            <w:r w:rsidR="00E0281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AS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E83257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Interactions médicamenteuses</w:t>
            </w: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1E148A" w:rsidP="00AB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1E148A" w:rsidRDefault="001E148A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0281E" w:rsidTr="00DB4092">
        <w:trPr>
          <w:trHeight w:val="1188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Pr="004B6490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4B6490">
              <w:rPr>
                <w:rFonts w:ascii="Calibri" w:hAnsi="Calibri" w:cs="Calibri"/>
                <w:i/>
                <w:iCs/>
                <w:color w:val="000000"/>
              </w:rPr>
              <w:cr/>
              <w:t>AVK (Anti Vitamine K)</w:t>
            </w:r>
          </w:p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Coumadine®</w:t>
            </w:r>
          </w:p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</w:rPr>
              <w:t>Préviscan®</w:t>
            </w:r>
          </w:p>
        </w:tc>
        <w:tc>
          <w:tcPr>
            <w:tcW w:w="2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E0281E">
              <w:rPr>
                <w:rFonts w:ascii="Calibri" w:hAnsi="Calibri" w:cs="Calibri"/>
                <w:color w:val="000000"/>
              </w:rPr>
              <w:t>Ce sont des anticoagulants intervenant sur différents facteurs de la coagulation.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Pr="004B6490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INR sans TTT=1</w:t>
            </w:r>
          </w:p>
          <w:p w:rsidR="00E0281E" w:rsidRPr="004B6490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INR sous AVK = entre 2 et 3</w:t>
            </w: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INR patients sous valves = 3.5 à 4.5</w:t>
            </w: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E0281E" w:rsidRDefault="00E0281E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</w:t>
            </w:r>
            <w:r w:rsidRPr="004B6490">
              <w:rPr>
                <w:rFonts w:ascii="Calibri" w:hAnsi="Calibri" w:cs="Calibri"/>
                <w:color w:val="000000"/>
              </w:rPr>
              <w:t>i trop anti coagulé :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Risque</w:t>
            </w:r>
            <w:r>
              <w:rPr>
                <w:rFonts w:ascii="Calibri" w:hAnsi="Calibri" w:cs="Calibri"/>
                <w:color w:val="000000"/>
              </w:rPr>
              <w:t>s</w:t>
            </w:r>
            <w:r w:rsidRPr="004B6490">
              <w:rPr>
                <w:rFonts w:ascii="Calibri" w:hAnsi="Calibri" w:cs="Calibri"/>
                <w:color w:val="000000"/>
              </w:rPr>
              <w:t xml:space="preserve"> hémorragiques :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Externe : gingivorragies, épistaxis, hématuries…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Interne : pâleur, sueurs, pouls filant, chute de TA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Si pas assez anti coagulé :</w:t>
            </w:r>
          </w:p>
          <w:p w:rsidR="00E0281E" w:rsidRPr="004B6490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t>Risque de TVP : Douleur, chaleur, rougeur, douleur à la dorsiflexion du pied, pas de ballotement du mollet</w:t>
            </w:r>
          </w:p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Pr="00A112D8" w:rsidRDefault="00E0281E" w:rsidP="00E832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112D8">
              <w:rPr>
                <w:rFonts w:ascii="Calibri" w:hAnsi="Calibri" w:cs="Calibri"/>
                <w:color w:val="000000"/>
              </w:rPr>
              <w:t>Aspirine® (risque</w:t>
            </w:r>
            <w:r>
              <w:rPr>
                <w:rFonts w:ascii="Calibri" w:hAnsi="Calibri" w:cs="Calibri"/>
                <w:color w:val="000000"/>
              </w:rPr>
              <w:t>s</w:t>
            </w:r>
            <w:r w:rsidRPr="00A112D8">
              <w:rPr>
                <w:rFonts w:ascii="Calibri" w:hAnsi="Calibri" w:cs="Calibri"/>
                <w:color w:val="000000"/>
              </w:rPr>
              <w:t xml:space="preserve"> hémorragiques +++)</w:t>
            </w:r>
          </w:p>
          <w:p w:rsidR="00E0281E" w:rsidRDefault="00E0281E" w:rsidP="00E832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112D8">
              <w:rPr>
                <w:rFonts w:ascii="Calibri" w:hAnsi="Calibri" w:cs="Calibri"/>
                <w:color w:val="000000"/>
              </w:rPr>
              <w:t>AINS =&gt; risque ulcère hémorragique</w:t>
            </w:r>
          </w:p>
          <w:p w:rsidR="00E0281E" w:rsidRDefault="00E0281E" w:rsidP="00E832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E0281E" w:rsidRDefault="00E0281E" w:rsidP="00E832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112D8">
              <w:rPr>
                <w:rFonts w:ascii="Calibri" w:hAnsi="Calibri" w:cs="Calibri"/>
                <w:color w:val="000000"/>
              </w:rPr>
              <w:t>Aliments qui peuvent éventuellement perturber l’INR =&gt;aliments riches en Vit K (Chou, avocat, carotte, tomate, épinards…) mais actuellement on ne met plus de régimes AVK pour les patients en cardiologie !</w:t>
            </w: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1E14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0281E" w:rsidTr="00DB4092">
        <w:trPr>
          <w:trHeight w:val="949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Pr="001E148A" w:rsidRDefault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  <w:r w:rsidRPr="001E148A">
              <w:rPr>
                <w:rFonts w:ascii="Calibri" w:hAnsi="Calibri" w:cs="Calibri"/>
                <w:i/>
                <w:color w:val="000000"/>
              </w:rPr>
              <w:t>Antiagrégants plaquettaires</w:t>
            </w:r>
          </w:p>
        </w:tc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Pr="00A112D8" w:rsidRDefault="00E0281E" w:rsidP="001E148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A112D8">
              <w:rPr>
                <w:rFonts w:ascii="Calibri" w:hAnsi="Calibri" w:cs="Calibri"/>
                <w:i/>
                <w:iCs/>
                <w:color w:val="000000"/>
              </w:rPr>
              <w:t>Kardégic®</w:t>
            </w:r>
            <w:r>
              <w:rPr>
                <w:rFonts w:ascii="Calibri" w:hAnsi="Calibri" w:cs="Calibri"/>
                <w:i/>
                <w:iCs/>
                <w:color w:val="000000"/>
              </w:rPr>
              <w:t xml:space="preserve"> (</w:t>
            </w:r>
            <w:r w:rsidRPr="00A112D8">
              <w:rPr>
                <w:rFonts w:ascii="Calibri" w:hAnsi="Calibri" w:cs="Calibri"/>
                <w:i/>
                <w:iCs/>
                <w:color w:val="000000"/>
              </w:rPr>
              <w:t>=Aspirine®)</w:t>
            </w:r>
          </w:p>
          <w:p w:rsidR="00E0281E" w:rsidRDefault="00E0281E" w:rsidP="001E148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A112D8">
              <w:rPr>
                <w:rFonts w:ascii="Calibri" w:hAnsi="Calibri" w:cs="Calibri"/>
                <w:i/>
                <w:iCs/>
                <w:color w:val="000000"/>
              </w:rPr>
              <w:t>Plavix®</w:t>
            </w:r>
          </w:p>
        </w:tc>
        <w:tc>
          <w:tcPr>
            <w:tcW w:w="2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A112D8">
              <w:rPr>
                <w:rFonts w:ascii="Calibri" w:hAnsi="Calibri" w:cs="Calibri"/>
                <w:color w:val="000000"/>
              </w:rPr>
              <w:t>Ttt uniquement en prévention d’une récidive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81E" w:rsidRDefault="00E0281E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532F15" w:rsidRDefault="00532F15" w:rsidP="00532F15"/>
    <w:p w:rsidR="00532F15" w:rsidRPr="0064369F" w:rsidRDefault="00532F15" w:rsidP="0064369F"/>
    <w:sectPr w:rsidR="00532F15" w:rsidRPr="0064369F" w:rsidSect="006436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A6309D"/>
    <w:multiLevelType w:val="hybridMultilevel"/>
    <w:tmpl w:val="DFC41A00"/>
    <w:lvl w:ilvl="0" w:tplc="6DEEAD74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0741F"/>
    <w:multiLevelType w:val="hybridMultilevel"/>
    <w:tmpl w:val="138C60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54C"/>
    <w:rsid w:val="00004AFC"/>
    <w:rsid w:val="00080274"/>
    <w:rsid w:val="000C454C"/>
    <w:rsid w:val="00141759"/>
    <w:rsid w:val="001E148A"/>
    <w:rsid w:val="00256F8B"/>
    <w:rsid w:val="002E5DC1"/>
    <w:rsid w:val="002F3E93"/>
    <w:rsid w:val="00466A6A"/>
    <w:rsid w:val="004B6490"/>
    <w:rsid w:val="00530DB3"/>
    <w:rsid w:val="00532F15"/>
    <w:rsid w:val="006222CB"/>
    <w:rsid w:val="006345A8"/>
    <w:rsid w:val="0064369F"/>
    <w:rsid w:val="006773A8"/>
    <w:rsid w:val="00740870"/>
    <w:rsid w:val="007A0F00"/>
    <w:rsid w:val="00937294"/>
    <w:rsid w:val="00A112D8"/>
    <w:rsid w:val="00A1460A"/>
    <w:rsid w:val="00A37467"/>
    <w:rsid w:val="00AC67A0"/>
    <w:rsid w:val="00B15CFF"/>
    <w:rsid w:val="00B4409D"/>
    <w:rsid w:val="00BE19DD"/>
    <w:rsid w:val="00C149DA"/>
    <w:rsid w:val="00D67653"/>
    <w:rsid w:val="00E0281E"/>
    <w:rsid w:val="00E1410D"/>
    <w:rsid w:val="00E83257"/>
    <w:rsid w:val="00F0766D"/>
    <w:rsid w:val="00F100B9"/>
    <w:rsid w:val="00F70072"/>
    <w:rsid w:val="00FA4A7C"/>
    <w:rsid w:val="00FD2C2E"/>
    <w:rsid w:val="00FD6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9E157"/>
  <w15:docId w15:val="{CF23183D-BA03-48D8-B091-D8E48D8D0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45A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676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EDC3B-1BCA-4F69-9028-781A76B3C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CH-DOLE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Garrien-Maire Fabienne</dc:creator>
  <cp:lastModifiedBy>GARRIEN-MAIRE Fabienne (CHLP)</cp:lastModifiedBy>
  <cp:revision>2</cp:revision>
  <cp:lastPrinted>2018-12-20T15:24:00Z</cp:lastPrinted>
  <dcterms:created xsi:type="dcterms:W3CDTF">2025-12-02T13:09:00Z</dcterms:created>
  <dcterms:modified xsi:type="dcterms:W3CDTF">2025-12-02T13:09:00Z</dcterms:modified>
</cp:coreProperties>
</file>